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0" w:firstLineChars="0"/>
        <w:rPr>
          <w:rFonts w:ascii="仿宋_GB2312" w:hAnsi="仿宋_GB2312" w:eastAsia="黑体" w:cs="方正黑体_GBK"/>
          <w:bCs/>
          <w:szCs w:val="32"/>
          <w:lang w:bidi="ar"/>
        </w:rPr>
      </w:pPr>
      <w:bookmarkStart w:id="0" w:name="_Hlk137381681"/>
      <w:r>
        <w:rPr>
          <w:rFonts w:hint="eastAsia" w:ascii="仿宋_GB2312" w:hAnsi="仿宋_GB2312" w:eastAsia="黑体" w:cs="方正黑体_GBK"/>
          <w:bCs/>
          <w:szCs w:val="32"/>
          <w:lang w:bidi="ar"/>
        </w:rPr>
        <w:t>附件</w:t>
      </w:r>
      <w:r>
        <w:rPr>
          <w:rFonts w:ascii="仿宋_GB2312" w:hAnsi="仿宋_GB2312" w:eastAsia="黑体" w:cs="方正黑体_GBK"/>
          <w:bCs/>
          <w:szCs w:val="32"/>
          <w:lang w:bidi="ar"/>
        </w:rPr>
        <w:t xml:space="preserve">2 </w:t>
      </w: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方正小标宋简体" w:cs="Nimbus Roman"/>
          <w:bCs/>
          <w:sz w:val="44"/>
          <w:szCs w:val="44"/>
          <w:lang w:bidi="ar"/>
        </w:rPr>
      </w:pP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黑体" w:hAnsi="黑体" w:eastAsia="黑体" w:cs="黑体"/>
          <w:bCs/>
          <w:sz w:val="44"/>
          <w:szCs w:val="44"/>
          <w:lang w:bidi="ar"/>
        </w:rPr>
      </w:pPr>
      <w:r>
        <w:rPr>
          <w:rFonts w:hint="eastAsia" w:ascii="黑体" w:hAnsi="黑体" w:eastAsia="黑体" w:cs="黑体"/>
          <w:bCs/>
          <w:sz w:val="44"/>
          <w:szCs w:val="44"/>
          <w:lang w:bidi="ar"/>
        </w:rPr>
        <w:t>河湖健康档案指标监测和调查方法</w:t>
      </w: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仿宋_GB2312" w:hAnsi="仿宋_GB2312" w:eastAsia="方正小标宋简体" w:cs="Nimbus Roman"/>
          <w:bCs/>
          <w:sz w:val="44"/>
          <w:szCs w:val="44"/>
          <w:lang w:bidi="ar"/>
        </w:rPr>
      </w:pPr>
    </w:p>
    <w:bookmarkEnd w:id="0"/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85"/>
        <w:gridCol w:w="1065"/>
        <w:gridCol w:w="1009"/>
        <w:gridCol w:w="863"/>
        <w:gridCol w:w="1143"/>
        <w:gridCol w:w="1852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257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编号</w:t>
            </w:r>
          </w:p>
        </w:tc>
        <w:tc>
          <w:tcPr>
            <w:tcW w:w="499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指标层</w:t>
            </w:r>
          </w:p>
        </w:tc>
        <w:tc>
          <w:tcPr>
            <w:tcW w:w="60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调查范围/断面</w:t>
            </w:r>
          </w:p>
        </w:tc>
        <w:tc>
          <w:tcPr>
            <w:tcW w:w="105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监测频次</w:t>
            </w:r>
          </w:p>
        </w:tc>
        <w:tc>
          <w:tcPr>
            <w:tcW w:w="645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数据主要来源</w:t>
            </w:r>
          </w:p>
        </w:tc>
        <w:tc>
          <w:tcPr>
            <w:tcW w:w="1045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相关规范</w:t>
            </w:r>
          </w:p>
        </w:tc>
        <w:tc>
          <w:tcPr>
            <w:tcW w:w="89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257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</w:p>
        </w:tc>
        <w:tc>
          <w:tcPr>
            <w:tcW w:w="60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</w:p>
        </w:tc>
        <w:tc>
          <w:tcPr>
            <w:tcW w:w="56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A、B类河湖</w:t>
            </w:r>
          </w:p>
        </w:tc>
        <w:tc>
          <w:tcPr>
            <w:tcW w:w="48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C类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河湖</w:t>
            </w:r>
          </w:p>
        </w:tc>
        <w:tc>
          <w:tcPr>
            <w:tcW w:w="64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</w:p>
        </w:tc>
        <w:tc>
          <w:tcPr>
            <w:tcW w:w="104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</w:p>
        </w:tc>
        <w:tc>
          <w:tcPr>
            <w:tcW w:w="89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5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ascii="仿宋_GB2312" w:hAnsi="仿宋_GB2312" w:cs="Nimbus Roman"/>
                <w:bCs/>
                <w:kern w:val="0"/>
                <w:sz w:val="24"/>
              </w:rPr>
              <w:t>1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岸线自然状况</w:t>
            </w:r>
          </w:p>
        </w:tc>
        <w:tc>
          <w:tcPr>
            <w:tcW w:w="60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河湖岸带</w:t>
            </w:r>
          </w:p>
        </w:tc>
        <w:tc>
          <w:tcPr>
            <w:tcW w:w="105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ascii="仿宋_GB2312" w:hAnsi="仿宋_GB2312" w:cs="Nimbus Roman"/>
                <w:bCs/>
                <w:kern w:val="0"/>
                <w:sz w:val="24"/>
              </w:rPr>
              <w:t>1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次</w:t>
            </w:r>
            <w:r>
              <w:rPr>
                <w:rFonts w:ascii="仿宋_GB2312" w:hAnsi="仿宋_GB2312" w:cs="Nimbus Roman"/>
                <w:bCs/>
                <w:kern w:val="0"/>
                <w:sz w:val="24"/>
              </w:rPr>
              <w:t>/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年</w:t>
            </w:r>
          </w:p>
        </w:tc>
        <w:tc>
          <w:tcPr>
            <w:tcW w:w="64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现场调查、遥感解译</w:t>
            </w:r>
          </w:p>
        </w:tc>
        <w:tc>
          <w:tcPr>
            <w:tcW w:w="104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Nimbus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《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  <w:lang w:eastAsia="zh-CN"/>
              </w:rPr>
              <w:t>河湖健康评价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指南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  <w:lang w:eastAsia="zh-CN"/>
              </w:rPr>
              <w:t>（试行）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》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  <w:lang w:eastAsia="zh-CN"/>
              </w:rPr>
              <w:t>（第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  <w:lang w:val="en-US" w:eastAsia="zh-CN"/>
              </w:rPr>
              <w:t>43号，以下简称《指南》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、《河流生态调查技术规范》（T/CSES 57）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《河湖健康评估技术导则》（SL/T 793）</w:t>
            </w:r>
          </w:p>
        </w:tc>
        <w:tc>
          <w:tcPr>
            <w:tcW w:w="893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5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ascii="仿宋_GB2312" w:hAnsi="仿宋_GB2312" w:cs="Nimbus Roman"/>
                <w:bCs/>
                <w:kern w:val="0"/>
                <w:sz w:val="24"/>
              </w:rPr>
              <w:t>2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生态流量</w:t>
            </w:r>
            <w:r>
              <w:rPr>
                <w:rFonts w:ascii="仿宋_GB2312" w:hAnsi="仿宋_GB2312" w:cs="Nimbus Roman"/>
                <w:bCs/>
                <w:kern w:val="0"/>
                <w:sz w:val="24"/>
              </w:rPr>
              <w:t>/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最低生态水位满足程度</w:t>
            </w:r>
          </w:p>
        </w:tc>
        <w:tc>
          <w:tcPr>
            <w:tcW w:w="60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河湖水域监测点位</w:t>
            </w:r>
          </w:p>
        </w:tc>
        <w:tc>
          <w:tcPr>
            <w:tcW w:w="56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ascii="仿宋_GB2312" w:hAnsi="仿宋_GB2312" w:cs="Nimbus Roman"/>
                <w:bCs/>
                <w:kern w:val="0"/>
                <w:sz w:val="24"/>
              </w:rPr>
              <w:t>1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次</w:t>
            </w:r>
            <w:r>
              <w:rPr>
                <w:rFonts w:ascii="仿宋_GB2312" w:hAnsi="仿宋_GB2312" w:cs="Nimbus Roman"/>
                <w:bCs/>
                <w:kern w:val="0"/>
                <w:sz w:val="24"/>
              </w:rPr>
              <w:t>/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天</w:t>
            </w:r>
          </w:p>
        </w:tc>
        <w:tc>
          <w:tcPr>
            <w:tcW w:w="48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/</w:t>
            </w:r>
          </w:p>
        </w:tc>
        <w:tc>
          <w:tcPr>
            <w:tcW w:w="64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  <w:lang w:eastAsia="zh-CN"/>
              </w:rPr>
              <w:t>生态环境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、水文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  <w:lang w:eastAsia="zh-CN"/>
              </w:rPr>
              <w:t>等有关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部门</w:t>
            </w:r>
          </w:p>
        </w:tc>
        <w:tc>
          <w:tcPr>
            <w:tcW w:w="104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《指南》、《河湖生态流量监测预警技术指南（试行）》（办水文〔2021〕138号）</w:t>
            </w:r>
          </w:p>
        </w:tc>
        <w:tc>
          <w:tcPr>
            <w:tcW w:w="893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5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ascii="仿宋_GB2312" w:hAnsi="仿宋_GB2312" w:cs="Nimbus Roman"/>
                <w:bCs/>
                <w:kern w:val="0"/>
                <w:sz w:val="24"/>
              </w:rPr>
              <w:t>3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水质优劣程度</w:t>
            </w:r>
          </w:p>
        </w:tc>
        <w:tc>
          <w:tcPr>
            <w:tcW w:w="60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河湖水域监测点位</w:t>
            </w:r>
          </w:p>
        </w:tc>
        <w:tc>
          <w:tcPr>
            <w:tcW w:w="56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ascii="仿宋_GB2312" w:hAnsi="仿宋_GB2312" w:cs="Nimbus Roman"/>
                <w:bCs/>
                <w:kern w:val="0"/>
                <w:sz w:val="24"/>
              </w:rPr>
              <w:t>1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次/月</w:t>
            </w:r>
          </w:p>
        </w:tc>
        <w:tc>
          <w:tcPr>
            <w:tcW w:w="48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至少</w:t>
            </w:r>
            <w:r>
              <w:rPr>
                <w:rFonts w:ascii="仿宋_GB2312" w:hAnsi="仿宋_GB2312" w:cs="Nimbus Roman"/>
                <w:bCs/>
                <w:kern w:val="0"/>
                <w:sz w:val="24"/>
              </w:rPr>
              <w:t>2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次</w:t>
            </w:r>
            <w:r>
              <w:rPr>
                <w:rFonts w:ascii="仿宋_GB2312" w:hAnsi="仿宋_GB2312" w:cs="Nimbus Roman"/>
                <w:bCs/>
                <w:kern w:val="0"/>
                <w:sz w:val="24"/>
              </w:rPr>
              <w:t>/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年</w:t>
            </w:r>
          </w:p>
        </w:tc>
        <w:tc>
          <w:tcPr>
            <w:tcW w:w="64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生态环境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  <w:lang w:eastAsia="zh-CN"/>
              </w:rPr>
              <w:t>、水文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等有关部门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水质在线监测、取样送检或查询水质公报</w:t>
            </w:r>
          </w:p>
        </w:tc>
        <w:tc>
          <w:tcPr>
            <w:tcW w:w="104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《地表水环境质量标准》（GB 3838）、《水环境监测规范》（SL</w:t>
            </w:r>
            <w:r>
              <w:rPr>
                <w:rFonts w:ascii="仿宋_GB2312" w:hAnsi="仿宋_GB2312" w:cs="Nimbus Roman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219）</w:t>
            </w:r>
          </w:p>
        </w:tc>
        <w:tc>
          <w:tcPr>
            <w:tcW w:w="893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Nimbus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对于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  <w:lang w:val="en-US" w:eastAsia="zh-CN"/>
              </w:rPr>
              <w:t>C类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河湖，原则上可按每年丰、平、枯水期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  <w:lang w:eastAsia="zh-CN"/>
              </w:rPr>
              <w:t>各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  <w:lang w:val="en-US" w:eastAsia="zh-CN"/>
              </w:rPr>
              <w:t>采样1次，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或按汛期、非汛期各采样1次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季节性河流无水期不开展监测，有水期至少开展2次监测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5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ascii="仿宋_GB2312" w:hAnsi="仿宋_GB2312" w:cs="Nimbus Roman"/>
                <w:bCs/>
                <w:kern w:val="0"/>
                <w:sz w:val="24"/>
              </w:rPr>
              <w:t>4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湖泊营养状态</w:t>
            </w:r>
          </w:p>
        </w:tc>
        <w:tc>
          <w:tcPr>
            <w:tcW w:w="60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湖泊水域监测点位</w:t>
            </w:r>
          </w:p>
        </w:tc>
        <w:tc>
          <w:tcPr>
            <w:tcW w:w="56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ascii="仿宋_GB2312" w:hAnsi="仿宋_GB2312" w:cs="Nimbus Roman"/>
                <w:bCs/>
                <w:kern w:val="0"/>
                <w:sz w:val="24"/>
              </w:rPr>
              <w:t>1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次/月</w:t>
            </w:r>
          </w:p>
        </w:tc>
        <w:tc>
          <w:tcPr>
            <w:tcW w:w="48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/</w:t>
            </w:r>
          </w:p>
        </w:tc>
        <w:tc>
          <w:tcPr>
            <w:tcW w:w="64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  <w:lang w:eastAsia="zh-CN"/>
              </w:rPr>
              <w:t>生态环境等有关部门，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水质在线监测、取样送检或查询水质公报</w:t>
            </w:r>
          </w:p>
        </w:tc>
        <w:tc>
          <w:tcPr>
            <w:tcW w:w="104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《指南》、《地表水环境质量标准》（GB 3838）</w:t>
            </w:r>
          </w:p>
        </w:tc>
        <w:tc>
          <w:tcPr>
            <w:tcW w:w="893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5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ascii="仿宋_GB2312" w:hAnsi="仿宋_GB2312" w:cs="Nimbus Roman"/>
                <w:bCs/>
                <w:kern w:val="0"/>
                <w:sz w:val="24"/>
              </w:rPr>
              <w:t>5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鱼类保有指数</w:t>
            </w:r>
            <w:r>
              <w:rPr>
                <w:rFonts w:ascii="仿宋_GB2312" w:hAnsi="仿宋_GB2312" w:cs="Nimbus Roman"/>
                <w:bCs/>
                <w:kern w:val="0"/>
                <w:sz w:val="24"/>
              </w:rPr>
              <w:t>/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鱼类多样性指数</w:t>
            </w:r>
          </w:p>
        </w:tc>
        <w:tc>
          <w:tcPr>
            <w:tcW w:w="60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Nimbus Roman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河湖水域</w:t>
            </w:r>
          </w:p>
        </w:tc>
        <w:tc>
          <w:tcPr>
            <w:tcW w:w="56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ascii="仿宋_GB2312" w:hAnsi="仿宋_GB2312" w:cs="Nimbus Roman"/>
                <w:bCs/>
                <w:kern w:val="0"/>
                <w:sz w:val="24"/>
              </w:rPr>
              <w:t>1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次/</w:t>
            </w:r>
            <w:r>
              <w:rPr>
                <w:rFonts w:ascii="仿宋_GB2312" w:hAnsi="仿宋_GB2312" w:cs="Nimbus Roman"/>
                <w:bCs/>
                <w:kern w:val="0"/>
                <w:sz w:val="24"/>
              </w:rPr>
              <w:t>3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年</w:t>
            </w:r>
          </w:p>
        </w:tc>
        <w:tc>
          <w:tcPr>
            <w:tcW w:w="48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/</w:t>
            </w:r>
          </w:p>
        </w:tc>
        <w:tc>
          <w:tcPr>
            <w:tcW w:w="64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专业机构现场调查或咨询各地水产研究所、农业农村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  <w:lang w:eastAsia="zh-CN"/>
              </w:rPr>
              <w:t>等有关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部门</w:t>
            </w:r>
          </w:p>
        </w:tc>
        <w:tc>
          <w:tcPr>
            <w:tcW w:w="104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《指南》</w:t>
            </w:r>
          </w:p>
        </w:tc>
        <w:tc>
          <w:tcPr>
            <w:tcW w:w="893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5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ascii="仿宋_GB2312" w:hAnsi="仿宋_GB2312" w:cs="Nimbus Roman"/>
                <w:bCs/>
                <w:kern w:val="0"/>
                <w:sz w:val="24"/>
              </w:rPr>
              <w:t>6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浮游植物密度</w:t>
            </w:r>
          </w:p>
        </w:tc>
        <w:tc>
          <w:tcPr>
            <w:tcW w:w="60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湖泊水域监测点位</w:t>
            </w:r>
          </w:p>
        </w:tc>
        <w:tc>
          <w:tcPr>
            <w:tcW w:w="56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ascii="仿宋_GB2312" w:hAnsi="仿宋_GB2312" w:cs="Nimbus Roman"/>
                <w:bCs/>
                <w:kern w:val="0"/>
                <w:sz w:val="24"/>
              </w:rPr>
              <w:t>2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次</w:t>
            </w:r>
            <w:r>
              <w:rPr>
                <w:rFonts w:ascii="仿宋_GB2312" w:hAnsi="仿宋_GB2312" w:cs="Nimbus Roman"/>
                <w:bCs/>
                <w:kern w:val="0"/>
                <w:sz w:val="24"/>
              </w:rPr>
              <w:t>/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年</w:t>
            </w:r>
          </w:p>
        </w:tc>
        <w:tc>
          <w:tcPr>
            <w:tcW w:w="48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/</w:t>
            </w:r>
          </w:p>
        </w:tc>
        <w:tc>
          <w:tcPr>
            <w:tcW w:w="64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现场采样、专业机构监测</w:t>
            </w:r>
          </w:p>
        </w:tc>
        <w:tc>
          <w:tcPr>
            <w:tcW w:w="104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《指南》、《内陆浮游生物多样性调查与评估技术规定》（公告〔20</w:t>
            </w:r>
            <w:r>
              <w:rPr>
                <w:rFonts w:ascii="仿宋_GB2312" w:hAnsi="仿宋_GB2312" w:cs="Nimbus Roman"/>
                <w:bCs/>
                <w:kern w:val="0"/>
                <w:sz w:val="24"/>
              </w:rPr>
              <w:t>17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〕84号）</w:t>
            </w:r>
          </w:p>
        </w:tc>
        <w:tc>
          <w:tcPr>
            <w:tcW w:w="893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至少保证汛期、非汛期2次调查，条件允许的情况下每季度开展1次调查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5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ascii="仿宋_GB2312" w:hAnsi="仿宋_GB2312" w:cs="Nimbus Roman"/>
                <w:bCs/>
                <w:kern w:val="0"/>
                <w:sz w:val="24"/>
              </w:rPr>
              <w:t>7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防洪达标率</w:t>
            </w:r>
          </w:p>
        </w:tc>
        <w:tc>
          <w:tcPr>
            <w:tcW w:w="60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河流堤防</w:t>
            </w:r>
          </w:p>
        </w:tc>
        <w:tc>
          <w:tcPr>
            <w:tcW w:w="56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ascii="仿宋_GB2312" w:hAnsi="仿宋_GB2312" w:cs="Nimbus Roman"/>
                <w:bCs/>
                <w:kern w:val="0"/>
                <w:sz w:val="24"/>
              </w:rPr>
              <w:t>1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次</w:t>
            </w:r>
            <w:r>
              <w:rPr>
                <w:rFonts w:ascii="仿宋_GB2312" w:hAnsi="仿宋_GB2312" w:cs="Nimbus Roman"/>
                <w:bCs/>
                <w:kern w:val="0"/>
                <w:sz w:val="24"/>
              </w:rPr>
              <w:t>/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年</w:t>
            </w:r>
          </w:p>
        </w:tc>
        <w:tc>
          <w:tcPr>
            <w:tcW w:w="48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/</w:t>
            </w:r>
          </w:p>
        </w:tc>
        <w:tc>
          <w:tcPr>
            <w:tcW w:w="64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防洪规划、专题调查</w:t>
            </w:r>
          </w:p>
        </w:tc>
        <w:tc>
          <w:tcPr>
            <w:tcW w:w="104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《指南》</w:t>
            </w:r>
          </w:p>
        </w:tc>
        <w:tc>
          <w:tcPr>
            <w:tcW w:w="893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57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ascii="仿宋_GB2312" w:hAnsi="仿宋_GB2312" w:cs="Nimbus Roman"/>
                <w:bCs/>
                <w:kern w:val="0"/>
                <w:sz w:val="24"/>
              </w:rPr>
              <w:t>8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公众满意度</w:t>
            </w:r>
          </w:p>
        </w:tc>
        <w:tc>
          <w:tcPr>
            <w:tcW w:w="601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河湖周边社会公众</w:t>
            </w:r>
          </w:p>
        </w:tc>
        <w:tc>
          <w:tcPr>
            <w:tcW w:w="105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ascii="仿宋_GB2312" w:hAnsi="仿宋_GB2312" w:cs="Nimbus Roman"/>
                <w:bCs/>
                <w:kern w:val="0"/>
                <w:sz w:val="24"/>
              </w:rPr>
              <w:t>1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次</w:t>
            </w:r>
            <w:r>
              <w:rPr>
                <w:rFonts w:ascii="仿宋_GB2312" w:hAnsi="仿宋_GB2312" w:cs="Nimbus Roman"/>
                <w:bCs/>
                <w:kern w:val="0"/>
                <w:sz w:val="24"/>
              </w:rPr>
              <w:t>/</w:t>
            </w: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年</w:t>
            </w:r>
          </w:p>
        </w:tc>
        <w:tc>
          <w:tcPr>
            <w:tcW w:w="64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线上、线下问卷调查</w:t>
            </w:r>
          </w:p>
        </w:tc>
        <w:tc>
          <w:tcPr>
            <w:tcW w:w="1045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  <w:r>
              <w:rPr>
                <w:rFonts w:hint="eastAsia" w:ascii="仿宋_GB2312" w:hAnsi="仿宋_GB2312" w:cs="Nimbus Roman"/>
                <w:bCs/>
                <w:kern w:val="0"/>
                <w:sz w:val="24"/>
              </w:rPr>
              <w:t>《指南》</w:t>
            </w:r>
          </w:p>
        </w:tc>
        <w:tc>
          <w:tcPr>
            <w:tcW w:w="893" w:type="pc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ascii="仿宋_GB2312" w:hAnsi="仿宋_GB2312" w:cs="Nimbus Roman"/>
                <w:bCs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0" w:firstLineChars="0"/>
        <w:rPr>
          <w:rFonts w:ascii="仿宋_GB2312" w:hAnsi="仿宋_GB2312" w:eastAsia="黑体" w:cs="Nimbus Roman"/>
          <w:bCs/>
          <w:sz w:val="21"/>
          <w:szCs w:val="21"/>
        </w:rPr>
      </w:pP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">
    <w:altName w:val="汉仪中秀体简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8078558"/>
    </w:sdtPr>
    <w:sdtContent>
      <w:p>
        <w:pPr>
          <w:pStyle w:val="8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23</w:t>
        </w:r>
        <w:r>
          <w:fldChar w:fldCharType="end"/>
        </w:r>
      </w:p>
    </w:sdtContent>
  </w:sdt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19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MWZjYjhjMzE0YzdiNDgxYWU3YWExOTgyZDdiNmUifQ=="/>
  </w:docVars>
  <w:rsids>
    <w:rsidRoot w:val="559255F8"/>
    <w:rsid w:val="00001021"/>
    <w:rsid w:val="0000759A"/>
    <w:rsid w:val="00010AA4"/>
    <w:rsid w:val="000138BC"/>
    <w:rsid w:val="00014294"/>
    <w:rsid w:val="00026245"/>
    <w:rsid w:val="00033BC5"/>
    <w:rsid w:val="000362FD"/>
    <w:rsid w:val="0004156A"/>
    <w:rsid w:val="0005058F"/>
    <w:rsid w:val="00051D62"/>
    <w:rsid w:val="00056E1C"/>
    <w:rsid w:val="00060EDE"/>
    <w:rsid w:val="00062D0B"/>
    <w:rsid w:val="000B0B50"/>
    <w:rsid w:val="000B1BCA"/>
    <w:rsid w:val="000B28AA"/>
    <w:rsid w:val="000C1213"/>
    <w:rsid w:val="000C61AB"/>
    <w:rsid w:val="000D167F"/>
    <w:rsid w:val="000D312F"/>
    <w:rsid w:val="000E0418"/>
    <w:rsid w:val="000E5B7A"/>
    <w:rsid w:val="000F4A3F"/>
    <w:rsid w:val="00100B34"/>
    <w:rsid w:val="00117D06"/>
    <w:rsid w:val="00130EE1"/>
    <w:rsid w:val="001324CD"/>
    <w:rsid w:val="001338BB"/>
    <w:rsid w:val="00133C61"/>
    <w:rsid w:val="001347E7"/>
    <w:rsid w:val="00135415"/>
    <w:rsid w:val="0013636A"/>
    <w:rsid w:val="00136438"/>
    <w:rsid w:val="00136AF9"/>
    <w:rsid w:val="00141198"/>
    <w:rsid w:val="00144A8D"/>
    <w:rsid w:val="00146DDB"/>
    <w:rsid w:val="001577EA"/>
    <w:rsid w:val="00160F27"/>
    <w:rsid w:val="00165CCD"/>
    <w:rsid w:val="0016756A"/>
    <w:rsid w:val="00182091"/>
    <w:rsid w:val="00182DBC"/>
    <w:rsid w:val="00183032"/>
    <w:rsid w:val="001848EA"/>
    <w:rsid w:val="00191CB4"/>
    <w:rsid w:val="00195394"/>
    <w:rsid w:val="001954A6"/>
    <w:rsid w:val="001A009F"/>
    <w:rsid w:val="001A1AB8"/>
    <w:rsid w:val="001A26B9"/>
    <w:rsid w:val="001A3935"/>
    <w:rsid w:val="001C126E"/>
    <w:rsid w:val="001C4A9F"/>
    <w:rsid w:val="001C4E9B"/>
    <w:rsid w:val="001D3A4F"/>
    <w:rsid w:val="001D3EDA"/>
    <w:rsid w:val="001D70FC"/>
    <w:rsid w:val="0020792D"/>
    <w:rsid w:val="00211318"/>
    <w:rsid w:val="0021714E"/>
    <w:rsid w:val="0021752E"/>
    <w:rsid w:val="00222459"/>
    <w:rsid w:val="00226CE5"/>
    <w:rsid w:val="00232DE9"/>
    <w:rsid w:val="0024687D"/>
    <w:rsid w:val="00246918"/>
    <w:rsid w:val="00247F83"/>
    <w:rsid w:val="00250537"/>
    <w:rsid w:val="002544A0"/>
    <w:rsid w:val="00256D33"/>
    <w:rsid w:val="0025701E"/>
    <w:rsid w:val="00262767"/>
    <w:rsid w:val="00262C47"/>
    <w:rsid w:val="00264AF5"/>
    <w:rsid w:val="00270779"/>
    <w:rsid w:val="00282414"/>
    <w:rsid w:val="00287C06"/>
    <w:rsid w:val="00292987"/>
    <w:rsid w:val="00294295"/>
    <w:rsid w:val="00296E85"/>
    <w:rsid w:val="002A1FA8"/>
    <w:rsid w:val="002A3EC8"/>
    <w:rsid w:val="002B1E8C"/>
    <w:rsid w:val="002B2A9D"/>
    <w:rsid w:val="002B4253"/>
    <w:rsid w:val="002C18FE"/>
    <w:rsid w:val="002C6068"/>
    <w:rsid w:val="002C734B"/>
    <w:rsid w:val="002C7CE3"/>
    <w:rsid w:val="002E5B07"/>
    <w:rsid w:val="002E70C6"/>
    <w:rsid w:val="002E778D"/>
    <w:rsid w:val="00300F3B"/>
    <w:rsid w:val="003011EC"/>
    <w:rsid w:val="00305C84"/>
    <w:rsid w:val="00310D1D"/>
    <w:rsid w:val="00314A5D"/>
    <w:rsid w:val="00317921"/>
    <w:rsid w:val="00321D90"/>
    <w:rsid w:val="00323CD9"/>
    <w:rsid w:val="00327BF1"/>
    <w:rsid w:val="0034107F"/>
    <w:rsid w:val="00342A28"/>
    <w:rsid w:val="00342AB9"/>
    <w:rsid w:val="00345157"/>
    <w:rsid w:val="003468BC"/>
    <w:rsid w:val="0035002B"/>
    <w:rsid w:val="00350F5B"/>
    <w:rsid w:val="0036691E"/>
    <w:rsid w:val="003740D6"/>
    <w:rsid w:val="003850F3"/>
    <w:rsid w:val="00396E68"/>
    <w:rsid w:val="003A38A3"/>
    <w:rsid w:val="003A5E38"/>
    <w:rsid w:val="003A6F65"/>
    <w:rsid w:val="003B083F"/>
    <w:rsid w:val="003B5931"/>
    <w:rsid w:val="003C28B4"/>
    <w:rsid w:val="003D1224"/>
    <w:rsid w:val="003D27F8"/>
    <w:rsid w:val="00401174"/>
    <w:rsid w:val="0040230C"/>
    <w:rsid w:val="00405564"/>
    <w:rsid w:val="00421874"/>
    <w:rsid w:val="00425442"/>
    <w:rsid w:val="004263B1"/>
    <w:rsid w:val="00427619"/>
    <w:rsid w:val="00435204"/>
    <w:rsid w:val="00445755"/>
    <w:rsid w:val="004519BF"/>
    <w:rsid w:val="004572AF"/>
    <w:rsid w:val="0045764A"/>
    <w:rsid w:val="004622BB"/>
    <w:rsid w:val="00464ED9"/>
    <w:rsid w:val="0047067A"/>
    <w:rsid w:val="00471B38"/>
    <w:rsid w:val="0047657E"/>
    <w:rsid w:val="00481010"/>
    <w:rsid w:val="00481746"/>
    <w:rsid w:val="00485CC3"/>
    <w:rsid w:val="0048604E"/>
    <w:rsid w:val="00487761"/>
    <w:rsid w:val="00493943"/>
    <w:rsid w:val="004A2262"/>
    <w:rsid w:val="004A6E3E"/>
    <w:rsid w:val="004C13EF"/>
    <w:rsid w:val="004C2CB7"/>
    <w:rsid w:val="004C6FE3"/>
    <w:rsid w:val="004C7CFA"/>
    <w:rsid w:val="004D1FE3"/>
    <w:rsid w:val="004D3B84"/>
    <w:rsid w:val="004D6E1B"/>
    <w:rsid w:val="004D79C8"/>
    <w:rsid w:val="004E2CF7"/>
    <w:rsid w:val="004E45DB"/>
    <w:rsid w:val="004E5656"/>
    <w:rsid w:val="004F08E9"/>
    <w:rsid w:val="004F1D80"/>
    <w:rsid w:val="004F247A"/>
    <w:rsid w:val="004F4F95"/>
    <w:rsid w:val="004F61DB"/>
    <w:rsid w:val="005001B6"/>
    <w:rsid w:val="00511845"/>
    <w:rsid w:val="00524702"/>
    <w:rsid w:val="00524FAB"/>
    <w:rsid w:val="00525E2D"/>
    <w:rsid w:val="00526257"/>
    <w:rsid w:val="00527EDF"/>
    <w:rsid w:val="00537306"/>
    <w:rsid w:val="0053737E"/>
    <w:rsid w:val="00541A8C"/>
    <w:rsid w:val="005422E5"/>
    <w:rsid w:val="00544EB7"/>
    <w:rsid w:val="005463E6"/>
    <w:rsid w:val="00554FC4"/>
    <w:rsid w:val="00556226"/>
    <w:rsid w:val="00556B9D"/>
    <w:rsid w:val="00575A7D"/>
    <w:rsid w:val="00577CD5"/>
    <w:rsid w:val="005821F9"/>
    <w:rsid w:val="005826D9"/>
    <w:rsid w:val="0058771D"/>
    <w:rsid w:val="00587A51"/>
    <w:rsid w:val="00587A59"/>
    <w:rsid w:val="00590B54"/>
    <w:rsid w:val="005934A6"/>
    <w:rsid w:val="005966CE"/>
    <w:rsid w:val="005B0944"/>
    <w:rsid w:val="005B61B1"/>
    <w:rsid w:val="005B622D"/>
    <w:rsid w:val="005C0AC1"/>
    <w:rsid w:val="005C15AD"/>
    <w:rsid w:val="005C177F"/>
    <w:rsid w:val="005C19B8"/>
    <w:rsid w:val="005C6B62"/>
    <w:rsid w:val="005E0CA8"/>
    <w:rsid w:val="005E275A"/>
    <w:rsid w:val="005E7262"/>
    <w:rsid w:val="005F2E8F"/>
    <w:rsid w:val="005F530D"/>
    <w:rsid w:val="0060592B"/>
    <w:rsid w:val="006147E6"/>
    <w:rsid w:val="006169A6"/>
    <w:rsid w:val="00620152"/>
    <w:rsid w:val="00626B34"/>
    <w:rsid w:val="00630080"/>
    <w:rsid w:val="0063097B"/>
    <w:rsid w:val="0063165E"/>
    <w:rsid w:val="006444F2"/>
    <w:rsid w:val="00644B79"/>
    <w:rsid w:val="00650949"/>
    <w:rsid w:val="0065293F"/>
    <w:rsid w:val="00656DD9"/>
    <w:rsid w:val="0067021D"/>
    <w:rsid w:val="00673503"/>
    <w:rsid w:val="00685BD4"/>
    <w:rsid w:val="006900D1"/>
    <w:rsid w:val="00694EC1"/>
    <w:rsid w:val="00695DC6"/>
    <w:rsid w:val="00696CAB"/>
    <w:rsid w:val="006A5C7F"/>
    <w:rsid w:val="006A7C29"/>
    <w:rsid w:val="006A7D6C"/>
    <w:rsid w:val="006B5CC6"/>
    <w:rsid w:val="006B6573"/>
    <w:rsid w:val="006D0B27"/>
    <w:rsid w:val="006D7008"/>
    <w:rsid w:val="006E2180"/>
    <w:rsid w:val="006E79F8"/>
    <w:rsid w:val="006F534F"/>
    <w:rsid w:val="00701BA3"/>
    <w:rsid w:val="00704448"/>
    <w:rsid w:val="0072236F"/>
    <w:rsid w:val="007223F2"/>
    <w:rsid w:val="00731F9F"/>
    <w:rsid w:val="00734511"/>
    <w:rsid w:val="00740CD1"/>
    <w:rsid w:val="00750666"/>
    <w:rsid w:val="00753A18"/>
    <w:rsid w:val="00754361"/>
    <w:rsid w:val="00754504"/>
    <w:rsid w:val="00760034"/>
    <w:rsid w:val="00767EB8"/>
    <w:rsid w:val="0078433C"/>
    <w:rsid w:val="00792687"/>
    <w:rsid w:val="00793105"/>
    <w:rsid w:val="007948D3"/>
    <w:rsid w:val="00796B3A"/>
    <w:rsid w:val="007B16E2"/>
    <w:rsid w:val="007B2514"/>
    <w:rsid w:val="007D4676"/>
    <w:rsid w:val="007D73D2"/>
    <w:rsid w:val="007E29B3"/>
    <w:rsid w:val="007E764B"/>
    <w:rsid w:val="00800BCF"/>
    <w:rsid w:val="008102B1"/>
    <w:rsid w:val="00811C2D"/>
    <w:rsid w:val="00814463"/>
    <w:rsid w:val="008200B7"/>
    <w:rsid w:val="00820425"/>
    <w:rsid w:val="00821F16"/>
    <w:rsid w:val="008306E8"/>
    <w:rsid w:val="0083217A"/>
    <w:rsid w:val="008342F0"/>
    <w:rsid w:val="00836A0E"/>
    <w:rsid w:val="00851661"/>
    <w:rsid w:val="00853411"/>
    <w:rsid w:val="00862612"/>
    <w:rsid w:val="00865D5C"/>
    <w:rsid w:val="00866BE3"/>
    <w:rsid w:val="00867AD7"/>
    <w:rsid w:val="00875FDB"/>
    <w:rsid w:val="00876B69"/>
    <w:rsid w:val="00882A35"/>
    <w:rsid w:val="00882CEB"/>
    <w:rsid w:val="00883661"/>
    <w:rsid w:val="0088474F"/>
    <w:rsid w:val="00895506"/>
    <w:rsid w:val="008A0AD9"/>
    <w:rsid w:val="008A265F"/>
    <w:rsid w:val="008A3563"/>
    <w:rsid w:val="008A50E2"/>
    <w:rsid w:val="008B1D8B"/>
    <w:rsid w:val="008B2763"/>
    <w:rsid w:val="008B3A09"/>
    <w:rsid w:val="008B6604"/>
    <w:rsid w:val="008B714D"/>
    <w:rsid w:val="008B750E"/>
    <w:rsid w:val="008C3CEE"/>
    <w:rsid w:val="008C6E77"/>
    <w:rsid w:val="008D21B9"/>
    <w:rsid w:val="008D2DE9"/>
    <w:rsid w:val="008D56A8"/>
    <w:rsid w:val="008D780F"/>
    <w:rsid w:val="008E3156"/>
    <w:rsid w:val="008E34F7"/>
    <w:rsid w:val="008F698E"/>
    <w:rsid w:val="008F751A"/>
    <w:rsid w:val="008F7DC0"/>
    <w:rsid w:val="009031A9"/>
    <w:rsid w:val="00906A6F"/>
    <w:rsid w:val="00915AE5"/>
    <w:rsid w:val="00920E72"/>
    <w:rsid w:val="0092177E"/>
    <w:rsid w:val="00925A72"/>
    <w:rsid w:val="0092646D"/>
    <w:rsid w:val="009310CA"/>
    <w:rsid w:val="009378FE"/>
    <w:rsid w:val="00955177"/>
    <w:rsid w:val="00962E26"/>
    <w:rsid w:val="0096399E"/>
    <w:rsid w:val="0096549D"/>
    <w:rsid w:val="009678C5"/>
    <w:rsid w:val="0097099F"/>
    <w:rsid w:val="00984231"/>
    <w:rsid w:val="00990607"/>
    <w:rsid w:val="00992318"/>
    <w:rsid w:val="009924C3"/>
    <w:rsid w:val="009A4397"/>
    <w:rsid w:val="009A4A3F"/>
    <w:rsid w:val="009A7756"/>
    <w:rsid w:val="009C1148"/>
    <w:rsid w:val="009C26B1"/>
    <w:rsid w:val="009C4F75"/>
    <w:rsid w:val="009C68CC"/>
    <w:rsid w:val="009C71B9"/>
    <w:rsid w:val="009D3314"/>
    <w:rsid w:val="009D5A82"/>
    <w:rsid w:val="009D639F"/>
    <w:rsid w:val="009E0E9E"/>
    <w:rsid w:val="009E2231"/>
    <w:rsid w:val="009E3B79"/>
    <w:rsid w:val="009E5749"/>
    <w:rsid w:val="009E5C51"/>
    <w:rsid w:val="009F25C5"/>
    <w:rsid w:val="009F40C4"/>
    <w:rsid w:val="00A00821"/>
    <w:rsid w:val="00A0163C"/>
    <w:rsid w:val="00A04A93"/>
    <w:rsid w:val="00A05647"/>
    <w:rsid w:val="00A21376"/>
    <w:rsid w:val="00A21B8A"/>
    <w:rsid w:val="00A22C4C"/>
    <w:rsid w:val="00A23DD0"/>
    <w:rsid w:val="00A34027"/>
    <w:rsid w:val="00A36666"/>
    <w:rsid w:val="00A41930"/>
    <w:rsid w:val="00A41D48"/>
    <w:rsid w:val="00A42707"/>
    <w:rsid w:val="00A4359A"/>
    <w:rsid w:val="00A45930"/>
    <w:rsid w:val="00A533EE"/>
    <w:rsid w:val="00A54D5D"/>
    <w:rsid w:val="00A61164"/>
    <w:rsid w:val="00A6320A"/>
    <w:rsid w:val="00A658F5"/>
    <w:rsid w:val="00A663B7"/>
    <w:rsid w:val="00A71CA8"/>
    <w:rsid w:val="00A80235"/>
    <w:rsid w:val="00A81826"/>
    <w:rsid w:val="00A81AA7"/>
    <w:rsid w:val="00A82481"/>
    <w:rsid w:val="00A96F4E"/>
    <w:rsid w:val="00AA4580"/>
    <w:rsid w:val="00AA6A99"/>
    <w:rsid w:val="00AB6DDC"/>
    <w:rsid w:val="00AC0E3E"/>
    <w:rsid w:val="00AC1A47"/>
    <w:rsid w:val="00AC4CA0"/>
    <w:rsid w:val="00AD5609"/>
    <w:rsid w:val="00AD5E8F"/>
    <w:rsid w:val="00AF2A35"/>
    <w:rsid w:val="00B0162A"/>
    <w:rsid w:val="00B04E40"/>
    <w:rsid w:val="00B0609F"/>
    <w:rsid w:val="00B146B5"/>
    <w:rsid w:val="00B208CB"/>
    <w:rsid w:val="00B20975"/>
    <w:rsid w:val="00B22066"/>
    <w:rsid w:val="00B223C0"/>
    <w:rsid w:val="00B24D86"/>
    <w:rsid w:val="00B2588C"/>
    <w:rsid w:val="00B26286"/>
    <w:rsid w:val="00B32D44"/>
    <w:rsid w:val="00B33757"/>
    <w:rsid w:val="00B364C6"/>
    <w:rsid w:val="00B43CF2"/>
    <w:rsid w:val="00B46AC2"/>
    <w:rsid w:val="00B509D9"/>
    <w:rsid w:val="00B52984"/>
    <w:rsid w:val="00B53B95"/>
    <w:rsid w:val="00B72BB6"/>
    <w:rsid w:val="00B72FF5"/>
    <w:rsid w:val="00B73FC0"/>
    <w:rsid w:val="00B75004"/>
    <w:rsid w:val="00B8117B"/>
    <w:rsid w:val="00B81DEE"/>
    <w:rsid w:val="00B84694"/>
    <w:rsid w:val="00B97298"/>
    <w:rsid w:val="00BB132B"/>
    <w:rsid w:val="00BB37DB"/>
    <w:rsid w:val="00BB77AE"/>
    <w:rsid w:val="00BC06CD"/>
    <w:rsid w:val="00BD4E7E"/>
    <w:rsid w:val="00BD697C"/>
    <w:rsid w:val="00BE4775"/>
    <w:rsid w:val="00BE4F25"/>
    <w:rsid w:val="00BE6972"/>
    <w:rsid w:val="00BE7141"/>
    <w:rsid w:val="00BF2B2F"/>
    <w:rsid w:val="00BF741B"/>
    <w:rsid w:val="00C01734"/>
    <w:rsid w:val="00C01E73"/>
    <w:rsid w:val="00C02C1A"/>
    <w:rsid w:val="00C07AC5"/>
    <w:rsid w:val="00C103F9"/>
    <w:rsid w:val="00C150CE"/>
    <w:rsid w:val="00C169E7"/>
    <w:rsid w:val="00C16C8D"/>
    <w:rsid w:val="00C2044A"/>
    <w:rsid w:val="00C22D21"/>
    <w:rsid w:val="00C241ED"/>
    <w:rsid w:val="00C24F78"/>
    <w:rsid w:val="00C325BB"/>
    <w:rsid w:val="00C32CD4"/>
    <w:rsid w:val="00C36220"/>
    <w:rsid w:val="00C3700D"/>
    <w:rsid w:val="00C37D52"/>
    <w:rsid w:val="00C420BD"/>
    <w:rsid w:val="00C44201"/>
    <w:rsid w:val="00C4610F"/>
    <w:rsid w:val="00C50305"/>
    <w:rsid w:val="00C50912"/>
    <w:rsid w:val="00C72672"/>
    <w:rsid w:val="00C73C90"/>
    <w:rsid w:val="00C873B9"/>
    <w:rsid w:val="00C91EC6"/>
    <w:rsid w:val="00C92859"/>
    <w:rsid w:val="00C93390"/>
    <w:rsid w:val="00C95A3D"/>
    <w:rsid w:val="00C97C7B"/>
    <w:rsid w:val="00CA0F93"/>
    <w:rsid w:val="00CA32C3"/>
    <w:rsid w:val="00CD1398"/>
    <w:rsid w:val="00CE044F"/>
    <w:rsid w:val="00CE41B2"/>
    <w:rsid w:val="00CE571F"/>
    <w:rsid w:val="00CE6FEE"/>
    <w:rsid w:val="00CF0353"/>
    <w:rsid w:val="00CF04C9"/>
    <w:rsid w:val="00CF2CB7"/>
    <w:rsid w:val="00CF2FDC"/>
    <w:rsid w:val="00D10D88"/>
    <w:rsid w:val="00D2586A"/>
    <w:rsid w:val="00D26247"/>
    <w:rsid w:val="00D30CA1"/>
    <w:rsid w:val="00D3226B"/>
    <w:rsid w:val="00D34677"/>
    <w:rsid w:val="00D36782"/>
    <w:rsid w:val="00D67F2E"/>
    <w:rsid w:val="00D72574"/>
    <w:rsid w:val="00D74951"/>
    <w:rsid w:val="00D85622"/>
    <w:rsid w:val="00D8675A"/>
    <w:rsid w:val="00D91B92"/>
    <w:rsid w:val="00DA5C20"/>
    <w:rsid w:val="00DA67EF"/>
    <w:rsid w:val="00DB5B18"/>
    <w:rsid w:val="00DB780B"/>
    <w:rsid w:val="00DC03A3"/>
    <w:rsid w:val="00DF1CFC"/>
    <w:rsid w:val="00DF4A90"/>
    <w:rsid w:val="00DF7BFA"/>
    <w:rsid w:val="00E00C7F"/>
    <w:rsid w:val="00E024CF"/>
    <w:rsid w:val="00E04961"/>
    <w:rsid w:val="00E11EE6"/>
    <w:rsid w:val="00E441F9"/>
    <w:rsid w:val="00E51FC9"/>
    <w:rsid w:val="00E5738D"/>
    <w:rsid w:val="00E615CD"/>
    <w:rsid w:val="00E663CA"/>
    <w:rsid w:val="00E705B3"/>
    <w:rsid w:val="00E720A8"/>
    <w:rsid w:val="00E76223"/>
    <w:rsid w:val="00E8130B"/>
    <w:rsid w:val="00E856DE"/>
    <w:rsid w:val="00E85E33"/>
    <w:rsid w:val="00E87CC4"/>
    <w:rsid w:val="00E87E8B"/>
    <w:rsid w:val="00E90DE0"/>
    <w:rsid w:val="00E91F73"/>
    <w:rsid w:val="00E9743A"/>
    <w:rsid w:val="00EB138E"/>
    <w:rsid w:val="00EB7360"/>
    <w:rsid w:val="00EC05A6"/>
    <w:rsid w:val="00EC69FC"/>
    <w:rsid w:val="00ED6D38"/>
    <w:rsid w:val="00ED73AE"/>
    <w:rsid w:val="00EE1190"/>
    <w:rsid w:val="00EE2F6A"/>
    <w:rsid w:val="00EE5CE3"/>
    <w:rsid w:val="00EF2404"/>
    <w:rsid w:val="00EF5E4B"/>
    <w:rsid w:val="00EF6446"/>
    <w:rsid w:val="00F02375"/>
    <w:rsid w:val="00F0306D"/>
    <w:rsid w:val="00F15A86"/>
    <w:rsid w:val="00F23D69"/>
    <w:rsid w:val="00F2663E"/>
    <w:rsid w:val="00F309B6"/>
    <w:rsid w:val="00F419D8"/>
    <w:rsid w:val="00F43F43"/>
    <w:rsid w:val="00F46EA2"/>
    <w:rsid w:val="00F51758"/>
    <w:rsid w:val="00F56A08"/>
    <w:rsid w:val="00F645FC"/>
    <w:rsid w:val="00F809FD"/>
    <w:rsid w:val="00F84C74"/>
    <w:rsid w:val="00F85670"/>
    <w:rsid w:val="00F858BC"/>
    <w:rsid w:val="00F8650F"/>
    <w:rsid w:val="00F939D7"/>
    <w:rsid w:val="00FA38D2"/>
    <w:rsid w:val="00FB1FC6"/>
    <w:rsid w:val="00FC1275"/>
    <w:rsid w:val="00FC25D1"/>
    <w:rsid w:val="00FC6D5F"/>
    <w:rsid w:val="00FD38F4"/>
    <w:rsid w:val="00FD6F7E"/>
    <w:rsid w:val="00FE30E7"/>
    <w:rsid w:val="00FE4BDF"/>
    <w:rsid w:val="00FE7219"/>
    <w:rsid w:val="00FF0FF1"/>
    <w:rsid w:val="07DF29AA"/>
    <w:rsid w:val="0FFDF51A"/>
    <w:rsid w:val="16FF18F2"/>
    <w:rsid w:val="17713080"/>
    <w:rsid w:val="1A3B445A"/>
    <w:rsid w:val="1FBE1794"/>
    <w:rsid w:val="1FBE5FE4"/>
    <w:rsid w:val="1FEE4B0A"/>
    <w:rsid w:val="1FFDF49B"/>
    <w:rsid w:val="21AE879C"/>
    <w:rsid w:val="2E9F1717"/>
    <w:rsid w:val="2EAF88D4"/>
    <w:rsid w:val="2EDE10AE"/>
    <w:rsid w:val="2F7F345D"/>
    <w:rsid w:val="33316FD2"/>
    <w:rsid w:val="35F9E5B4"/>
    <w:rsid w:val="37B654F6"/>
    <w:rsid w:val="37FFFBA3"/>
    <w:rsid w:val="389F6855"/>
    <w:rsid w:val="397ABA6E"/>
    <w:rsid w:val="397FD276"/>
    <w:rsid w:val="3A410516"/>
    <w:rsid w:val="3AF3C1B9"/>
    <w:rsid w:val="3B6F5813"/>
    <w:rsid w:val="3B7B450F"/>
    <w:rsid w:val="3BFFD8F1"/>
    <w:rsid w:val="3C4AE442"/>
    <w:rsid w:val="3C97B0E5"/>
    <w:rsid w:val="3DDD81CB"/>
    <w:rsid w:val="3E8FE877"/>
    <w:rsid w:val="3E9F3111"/>
    <w:rsid w:val="3EF9939C"/>
    <w:rsid w:val="3EFDFF44"/>
    <w:rsid w:val="3EFF56A7"/>
    <w:rsid w:val="3FCFDE88"/>
    <w:rsid w:val="3FDD697F"/>
    <w:rsid w:val="3FDDD2E4"/>
    <w:rsid w:val="3FEA6D19"/>
    <w:rsid w:val="3FF7CF97"/>
    <w:rsid w:val="3FFF92DC"/>
    <w:rsid w:val="43DBD80A"/>
    <w:rsid w:val="47EB29B8"/>
    <w:rsid w:val="49FF190F"/>
    <w:rsid w:val="4EE6DD0F"/>
    <w:rsid w:val="4FDE442C"/>
    <w:rsid w:val="4FFF02C7"/>
    <w:rsid w:val="4FFF7D9B"/>
    <w:rsid w:val="559255F8"/>
    <w:rsid w:val="55CF31E2"/>
    <w:rsid w:val="57EE36BF"/>
    <w:rsid w:val="592E59A3"/>
    <w:rsid w:val="5BDF0505"/>
    <w:rsid w:val="5C6FCC68"/>
    <w:rsid w:val="5C9D7C4A"/>
    <w:rsid w:val="5CEDA427"/>
    <w:rsid w:val="5DF74383"/>
    <w:rsid w:val="5E6C4FB5"/>
    <w:rsid w:val="5F0B6195"/>
    <w:rsid w:val="5FD97927"/>
    <w:rsid w:val="5FEE01E4"/>
    <w:rsid w:val="5FFC6981"/>
    <w:rsid w:val="5FFD4684"/>
    <w:rsid w:val="5FFD4E03"/>
    <w:rsid w:val="5FFF17DE"/>
    <w:rsid w:val="5FFF6076"/>
    <w:rsid w:val="5FFF6199"/>
    <w:rsid w:val="63558CCB"/>
    <w:rsid w:val="63FD4DAB"/>
    <w:rsid w:val="63FEDDF7"/>
    <w:rsid w:val="66FC7619"/>
    <w:rsid w:val="67F74935"/>
    <w:rsid w:val="6AFFD037"/>
    <w:rsid w:val="6BC51349"/>
    <w:rsid w:val="6BFE9428"/>
    <w:rsid w:val="6CFEE7EC"/>
    <w:rsid w:val="6D35B56F"/>
    <w:rsid w:val="6D37E07C"/>
    <w:rsid w:val="6D676793"/>
    <w:rsid w:val="6ECF4801"/>
    <w:rsid w:val="6EDFFBA4"/>
    <w:rsid w:val="6EFDA021"/>
    <w:rsid w:val="6EFF7932"/>
    <w:rsid w:val="6FCEC7B3"/>
    <w:rsid w:val="6FEB1CB5"/>
    <w:rsid w:val="733CAC2F"/>
    <w:rsid w:val="73DE6BDC"/>
    <w:rsid w:val="747CC2B5"/>
    <w:rsid w:val="74EDA615"/>
    <w:rsid w:val="74F8B473"/>
    <w:rsid w:val="75DB93B3"/>
    <w:rsid w:val="75F8DCBC"/>
    <w:rsid w:val="7635DDC1"/>
    <w:rsid w:val="767E3A85"/>
    <w:rsid w:val="76ADB7FA"/>
    <w:rsid w:val="76BF6327"/>
    <w:rsid w:val="76FD4FB2"/>
    <w:rsid w:val="774B8145"/>
    <w:rsid w:val="779F5180"/>
    <w:rsid w:val="77BD264E"/>
    <w:rsid w:val="77DCAF2F"/>
    <w:rsid w:val="77FF273E"/>
    <w:rsid w:val="78FFD89E"/>
    <w:rsid w:val="7A7BC3DF"/>
    <w:rsid w:val="7AEB1D29"/>
    <w:rsid w:val="7AFF332D"/>
    <w:rsid w:val="7AFFBDF0"/>
    <w:rsid w:val="7B67D90D"/>
    <w:rsid w:val="7B6F7398"/>
    <w:rsid w:val="7B757C6B"/>
    <w:rsid w:val="7BE7D6DA"/>
    <w:rsid w:val="7BE9590D"/>
    <w:rsid w:val="7BF6BC3E"/>
    <w:rsid w:val="7C9B7F8A"/>
    <w:rsid w:val="7CDFF4DF"/>
    <w:rsid w:val="7D27A81C"/>
    <w:rsid w:val="7D376D89"/>
    <w:rsid w:val="7D3F336A"/>
    <w:rsid w:val="7D4318E8"/>
    <w:rsid w:val="7D46B1B1"/>
    <w:rsid w:val="7D7E6C29"/>
    <w:rsid w:val="7D7FCD4B"/>
    <w:rsid w:val="7DC397B9"/>
    <w:rsid w:val="7DCD28A1"/>
    <w:rsid w:val="7DD67BA8"/>
    <w:rsid w:val="7DDF1F08"/>
    <w:rsid w:val="7DEE95CC"/>
    <w:rsid w:val="7DF5335E"/>
    <w:rsid w:val="7DFFEE6A"/>
    <w:rsid w:val="7EAF41BE"/>
    <w:rsid w:val="7EDE8009"/>
    <w:rsid w:val="7EDF7D0F"/>
    <w:rsid w:val="7EEDC030"/>
    <w:rsid w:val="7EFA55FB"/>
    <w:rsid w:val="7EFF08D6"/>
    <w:rsid w:val="7EFF1883"/>
    <w:rsid w:val="7F3D5D7E"/>
    <w:rsid w:val="7F5F8167"/>
    <w:rsid w:val="7F7E7A88"/>
    <w:rsid w:val="7F7FBED6"/>
    <w:rsid w:val="7F7FFB10"/>
    <w:rsid w:val="7FB7DC3A"/>
    <w:rsid w:val="7FBFFC3D"/>
    <w:rsid w:val="7FCFC3C3"/>
    <w:rsid w:val="7FDB9886"/>
    <w:rsid w:val="7FEAB6AE"/>
    <w:rsid w:val="7FEF2543"/>
    <w:rsid w:val="7FF30D9A"/>
    <w:rsid w:val="7FF6059D"/>
    <w:rsid w:val="7FFE3D18"/>
    <w:rsid w:val="7FFF0E05"/>
    <w:rsid w:val="7FFFAEF3"/>
    <w:rsid w:val="7FFFBDB1"/>
    <w:rsid w:val="86FDAC11"/>
    <w:rsid w:val="8BEBC241"/>
    <w:rsid w:val="8DDB0E0F"/>
    <w:rsid w:val="8EF39A94"/>
    <w:rsid w:val="8F6A9C98"/>
    <w:rsid w:val="8FE7B73D"/>
    <w:rsid w:val="97F51738"/>
    <w:rsid w:val="97F7F7C8"/>
    <w:rsid w:val="99B96BA0"/>
    <w:rsid w:val="9FFF7C2F"/>
    <w:rsid w:val="AAE7CCBB"/>
    <w:rsid w:val="AD767018"/>
    <w:rsid w:val="AE8FA424"/>
    <w:rsid w:val="AFFFAA36"/>
    <w:rsid w:val="B1FF9751"/>
    <w:rsid w:val="B5FD5547"/>
    <w:rsid w:val="B92ECE39"/>
    <w:rsid w:val="BADB1067"/>
    <w:rsid w:val="BAE770C3"/>
    <w:rsid w:val="BBB362BA"/>
    <w:rsid w:val="BCE52B31"/>
    <w:rsid w:val="BD9F1AFF"/>
    <w:rsid w:val="BDC0E1A5"/>
    <w:rsid w:val="BECB8282"/>
    <w:rsid w:val="BEFDA682"/>
    <w:rsid w:val="BF4DCE27"/>
    <w:rsid w:val="BF6DC859"/>
    <w:rsid w:val="BF7D70D0"/>
    <w:rsid w:val="BFED90E2"/>
    <w:rsid w:val="C75F82D9"/>
    <w:rsid w:val="CA5C5519"/>
    <w:rsid w:val="CD968C78"/>
    <w:rsid w:val="CEED7C5F"/>
    <w:rsid w:val="CFCE72A3"/>
    <w:rsid w:val="CFD6ED68"/>
    <w:rsid w:val="D4FDFA46"/>
    <w:rsid w:val="D67BB90B"/>
    <w:rsid w:val="D67F9498"/>
    <w:rsid w:val="D6DFC45A"/>
    <w:rsid w:val="D6FF9112"/>
    <w:rsid w:val="D77B02AC"/>
    <w:rsid w:val="D7E8E5FD"/>
    <w:rsid w:val="D7FF89FF"/>
    <w:rsid w:val="D7FFA4E4"/>
    <w:rsid w:val="D97B9E40"/>
    <w:rsid w:val="DB58D6DB"/>
    <w:rsid w:val="DBAF30DE"/>
    <w:rsid w:val="DBAF466B"/>
    <w:rsid w:val="DBB742F2"/>
    <w:rsid w:val="DC2E29C4"/>
    <w:rsid w:val="DCBB457B"/>
    <w:rsid w:val="DCEFF90E"/>
    <w:rsid w:val="DD7F96DD"/>
    <w:rsid w:val="DDFB2AF1"/>
    <w:rsid w:val="DE5F1837"/>
    <w:rsid w:val="DEBCDC1C"/>
    <w:rsid w:val="DEE97721"/>
    <w:rsid w:val="DEFFCCC0"/>
    <w:rsid w:val="DF97BD6C"/>
    <w:rsid w:val="DFBF8CBF"/>
    <w:rsid w:val="DFFE86F1"/>
    <w:rsid w:val="E3F6D5C6"/>
    <w:rsid w:val="E6FCC314"/>
    <w:rsid w:val="E7BAF557"/>
    <w:rsid w:val="E7D968E4"/>
    <w:rsid w:val="E7FF5736"/>
    <w:rsid w:val="E8A71B9A"/>
    <w:rsid w:val="E8FBDAB4"/>
    <w:rsid w:val="EBE72FF0"/>
    <w:rsid w:val="ECEF6119"/>
    <w:rsid w:val="EDDEA45E"/>
    <w:rsid w:val="EE7FC3E4"/>
    <w:rsid w:val="EEDFEB9C"/>
    <w:rsid w:val="EEF30A2A"/>
    <w:rsid w:val="EEF970B7"/>
    <w:rsid w:val="F35AAE4D"/>
    <w:rsid w:val="F4FFF3A4"/>
    <w:rsid w:val="F69F933A"/>
    <w:rsid w:val="F6A7C3B4"/>
    <w:rsid w:val="F6EE251C"/>
    <w:rsid w:val="F736709C"/>
    <w:rsid w:val="F7957F55"/>
    <w:rsid w:val="F7B571BA"/>
    <w:rsid w:val="F7BE8E72"/>
    <w:rsid w:val="F7F53C22"/>
    <w:rsid w:val="F91F25C4"/>
    <w:rsid w:val="F97AE418"/>
    <w:rsid w:val="FAFEC0C9"/>
    <w:rsid w:val="FBD73683"/>
    <w:rsid w:val="FBEB52DC"/>
    <w:rsid w:val="FBED77B6"/>
    <w:rsid w:val="FBFBECCD"/>
    <w:rsid w:val="FBFF5F0E"/>
    <w:rsid w:val="FD5CFCCA"/>
    <w:rsid w:val="FDFF5111"/>
    <w:rsid w:val="FE3C5D88"/>
    <w:rsid w:val="FE3D19BA"/>
    <w:rsid w:val="FE7F07AF"/>
    <w:rsid w:val="FEDBBEA1"/>
    <w:rsid w:val="FEF7A775"/>
    <w:rsid w:val="FEFB1712"/>
    <w:rsid w:val="FEFE112B"/>
    <w:rsid w:val="FF3FE869"/>
    <w:rsid w:val="FF5AEA90"/>
    <w:rsid w:val="FF7322E5"/>
    <w:rsid w:val="FF9F0662"/>
    <w:rsid w:val="FFBD6B15"/>
    <w:rsid w:val="FFDE4175"/>
    <w:rsid w:val="FFEC1150"/>
    <w:rsid w:val="FFF7CCEA"/>
    <w:rsid w:val="FFFB0047"/>
    <w:rsid w:val="FFFB7BB6"/>
    <w:rsid w:val="FFFCDF86"/>
    <w:rsid w:val="FFFE4C6F"/>
    <w:rsid w:val="FFFF3244"/>
    <w:rsid w:val="FFFF61ED"/>
    <w:rsid w:val="FFFF8D28"/>
    <w:rsid w:val="FFFF8D34"/>
    <w:rsid w:val="FFFFA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Nimbus Roman" w:hAnsi="Nimbus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27"/>
    <w:unhideWhenUsed/>
    <w:qFormat/>
    <w:uiPriority w:val="0"/>
    <w:pPr>
      <w:keepNext/>
      <w:keepLines/>
      <w:spacing w:line="600" w:lineRule="exact"/>
      <w:outlineLvl w:val="1"/>
    </w:pPr>
    <w:rPr>
      <w:rFonts w:ascii="黑体" w:hAnsi="黑体" w:eastAsia="楷体_GB2312" w:cstheme="majorBidi"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0"/>
    <w:pPr>
      <w:ind w:firstLine="420"/>
    </w:pPr>
  </w:style>
  <w:style w:type="paragraph" w:styleId="5">
    <w:name w:val="caption"/>
    <w:basedOn w:val="1"/>
    <w:next w:val="1"/>
    <w:link w:val="30"/>
    <w:qFormat/>
    <w:uiPriority w:val="0"/>
    <w:pPr>
      <w:keepNext/>
      <w:ind w:firstLine="0" w:firstLineChars="0"/>
      <w:jc w:val="center"/>
    </w:pPr>
    <w:rPr>
      <w:rFonts w:eastAsia="黑体" w:cs="Times New Roman"/>
      <w:sz w:val="24"/>
      <w:szCs w:val="20"/>
    </w:rPr>
  </w:style>
  <w:style w:type="paragraph" w:styleId="6">
    <w:name w:val="annotation text"/>
    <w:basedOn w:val="1"/>
    <w:link w:val="20"/>
    <w:qFormat/>
    <w:uiPriority w:val="0"/>
    <w:pPr>
      <w:jc w:val="left"/>
    </w:p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annotation subject"/>
    <w:basedOn w:val="6"/>
    <w:next w:val="6"/>
    <w:link w:val="21"/>
    <w:qFormat/>
    <w:uiPriority w:val="0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黑体" w:hAnsi="Calibri" w:eastAsia="黑体" w:cs="Times New Roman"/>
      <w:color w:val="000000"/>
      <w:kern w:val="0"/>
      <w:sz w:val="24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页眉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文字 Char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Char"/>
    <w:basedOn w:val="20"/>
    <w:link w:val="11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2">
    <w:name w:val="批注框文本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4">
    <w:name w:val="目录3"/>
    <w:basedOn w:val="1"/>
    <w:qFormat/>
    <w:uiPriority w:val="0"/>
    <w:pPr>
      <w:widowControl/>
      <w:jc w:val="left"/>
      <w:outlineLvl w:val="0"/>
    </w:pPr>
    <w:rPr>
      <w:rFonts w:ascii="宋体" w:hAnsi="宋体" w:eastAsia="宋体" w:cs="Times New Roman"/>
      <w:b/>
      <w:kern w:val="0"/>
      <w:sz w:val="28"/>
      <w:szCs w:val="20"/>
    </w:rPr>
  </w:style>
  <w:style w:type="table" w:customStyle="1" w:styleId="25">
    <w:name w:val="网格型1"/>
    <w:basedOn w:val="12"/>
    <w:qFormat/>
    <w:uiPriority w:val="3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2 字符"/>
    <w:basedOn w:val="1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标题 2 Char"/>
    <w:basedOn w:val="14"/>
    <w:link w:val="3"/>
    <w:qFormat/>
    <w:uiPriority w:val="0"/>
    <w:rPr>
      <w:rFonts w:ascii="黑体" w:hAnsi="黑体" w:eastAsia="楷体_GB2312" w:cstheme="majorBidi"/>
      <w:bCs/>
      <w:kern w:val="2"/>
      <w:sz w:val="32"/>
      <w:szCs w:val="32"/>
    </w:rPr>
  </w:style>
  <w:style w:type="paragraph" w:customStyle="1" w:styleId="28">
    <w:name w:val="表格文字"/>
    <w:basedOn w:val="1"/>
    <w:qFormat/>
    <w:uiPriority w:val="0"/>
    <w:pPr>
      <w:spacing w:line="240" w:lineRule="auto"/>
      <w:ind w:firstLine="0" w:firstLineChars="0"/>
      <w:jc w:val="center"/>
    </w:pPr>
    <w:rPr>
      <w:rFonts w:eastAsia="宋体" w:cs="Times New Roman"/>
      <w:sz w:val="24"/>
    </w:rPr>
  </w:style>
  <w:style w:type="table" w:customStyle="1" w:styleId="29">
    <w:name w:val="网格型2"/>
    <w:basedOn w:val="12"/>
    <w:qFormat/>
    <w:uiPriority w:val="3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题注 Char"/>
    <w:link w:val="5"/>
    <w:qFormat/>
    <w:uiPriority w:val="0"/>
    <w:rPr>
      <w:rFonts w:ascii="Times New Roman" w:hAnsi="Times New Roman" w:eastAsia="黑体" w:cs="Times New Roman"/>
      <w:kern w:val="2"/>
      <w:sz w:val="24"/>
    </w:rPr>
  </w:style>
  <w:style w:type="paragraph" w:customStyle="1" w:styleId="31">
    <w:name w:val="表文"/>
    <w:basedOn w:val="1"/>
    <w:link w:val="32"/>
    <w:qFormat/>
    <w:uiPriority w:val="0"/>
    <w:pPr>
      <w:adjustRightInd w:val="0"/>
      <w:snapToGrid w:val="0"/>
      <w:spacing w:before="31" w:beforeLines="10" w:after="31" w:afterLines="10" w:line="240" w:lineRule="auto"/>
      <w:ind w:firstLine="0" w:firstLineChars="0"/>
      <w:jc w:val="center"/>
    </w:pPr>
    <w:rPr>
      <w:rFonts w:eastAsia="黑体" w:cs="Times New Roman"/>
      <w:bCs/>
      <w:sz w:val="24"/>
    </w:rPr>
  </w:style>
  <w:style w:type="character" w:customStyle="1" w:styleId="32">
    <w:name w:val="表文 Char"/>
    <w:link w:val="31"/>
    <w:qFormat/>
    <w:uiPriority w:val="0"/>
    <w:rPr>
      <w:rFonts w:ascii="Times New Roman" w:hAnsi="Times New Roman" w:eastAsia="黑体" w:cs="Times New Roman"/>
      <w:bCs/>
      <w:kern w:val="2"/>
      <w:sz w:val="24"/>
      <w:szCs w:val="24"/>
    </w:rPr>
  </w:style>
  <w:style w:type="table" w:customStyle="1" w:styleId="3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4">
    <w:name w:val="Table Paragraph"/>
    <w:basedOn w:val="1"/>
    <w:qFormat/>
    <w:uiPriority w:val="1"/>
    <w:pPr>
      <w:autoSpaceDE w:val="0"/>
      <w:autoSpaceDN w:val="0"/>
      <w:spacing w:before="2" w:line="289" w:lineRule="exact"/>
      <w:ind w:left="761" w:right="753" w:firstLine="0" w:firstLineChars="0"/>
      <w:jc w:val="center"/>
    </w:pPr>
    <w:rPr>
      <w:rFonts w:ascii="仿宋" w:hAnsi="仿宋" w:eastAsia="仿宋" w:cs="仿宋"/>
      <w:kern w:val="0"/>
      <w:sz w:val="22"/>
      <w:szCs w:val="22"/>
      <w:lang w:eastAsia="en-US"/>
    </w:rPr>
  </w:style>
  <w:style w:type="paragraph" w:customStyle="1" w:styleId="35">
    <w:name w:val="报告正文"/>
    <w:basedOn w:val="1"/>
    <w:link w:val="36"/>
    <w:qFormat/>
    <w:uiPriority w:val="0"/>
    <w:pPr>
      <w:spacing w:line="240" w:lineRule="auto"/>
      <w:ind w:firstLine="0" w:firstLineChars="0"/>
      <w:jc w:val="center"/>
    </w:pPr>
    <w:rPr>
      <w:rFonts w:eastAsia="宋体" w:cs="Times New Roman"/>
      <w:sz w:val="24"/>
      <w:szCs w:val="22"/>
    </w:rPr>
  </w:style>
  <w:style w:type="character" w:customStyle="1" w:styleId="36">
    <w:name w:val="报告正文 Char"/>
    <w:link w:val="35"/>
    <w:qFormat/>
    <w:uiPriority w:val="0"/>
    <w:rPr>
      <w:rFonts w:ascii="Times New Roman" w:hAnsi="Times New Roman" w:cs="Times New Roman"/>
      <w:kern w:val="2"/>
      <w:sz w:val="24"/>
      <w:szCs w:val="22"/>
    </w:rPr>
  </w:style>
  <w:style w:type="paragraph" w:customStyle="1" w:styleId="37">
    <w:name w:val="修订2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8">
    <w:name w:val="List Paragraph"/>
    <w:basedOn w:val="1"/>
    <w:qFormat/>
    <w:uiPriority w:val="99"/>
    <w:pPr>
      <w:ind w:firstLine="420"/>
    </w:pPr>
  </w:style>
  <w:style w:type="paragraph" w:customStyle="1" w:styleId="39">
    <w:name w:val="Revision"/>
    <w:hidden/>
    <w:semiHidden/>
    <w:qFormat/>
    <w:uiPriority w:val="99"/>
    <w:rPr>
      <w:rFonts w:ascii="Nimbus Roman" w:hAnsi="Nimbus Roman" w:eastAsia="仿宋_GB2312" w:cstheme="minorBidi"/>
      <w:kern w:val="2"/>
      <w:sz w:val="32"/>
      <w:szCs w:val="24"/>
      <w:lang w:val="en-US" w:eastAsia="zh-CN" w:bidi="ar-SA"/>
    </w:rPr>
  </w:style>
  <w:style w:type="character" w:customStyle="1" w:styleId="40">
    <w:name w:val="标题 1 Char"/>
    <w:basedOn w:val="14"/>
    <w:link w:val="2"/>
    <w:qFormat/>
    <w:uiPriority w:val="0"/>
    <w:rPr>
      <w:rFonts w:ascii="Nimbus Roman" w:hAnsi="Nimbus Roman" w:eastAsia="仿宋_GB2312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2038</Words>
  <Characters>11622</Characters>
  <Lines>96</Lines>
  <Paragraphs>27</Paragraphs>
  <TotalTime>2</TotalTime>
  <ScaleCrop>false</ScaleCrop>
  <LinksUpToDate>false</LinksUpToDate>
  <CharactersWithSpaces>13633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2023-06-16T07:37:00Z</dcterms:created>
  <dc:creator>LJJ</dc:creator>
  <cp:lastModifiedBy>admin</cp:lastModifiedBy>
  <dcterms:modified xsi:type="dcterms:W3CDTF">2023-07-06T09:52:44Z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5474E0CB73454E18BF790A0079908213_11</vt:lpwstr>
  </property>
</Properties>
</file>