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水利部关于印发第四批重点河湖生态流量保障目标的函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水资管函〔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为合理开发与优化配置水资源，切实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河湖生态流量水量管理，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河湖生态环境保护，推进生态文明建设，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依据《中华人民共和国长江保护法》等法律法规，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长江水利委员会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、有关省（自治区、直辖市）人民政府水行政主管部门制定了《第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批重点河湖生态流量保障目标（试行）》，现予以印发，并将有关事项函告如下。</w:t>
      </w:r>
    </w:p>
    <w:p>
      <w:pPr>
        <w:spacing w:line="560" w:lineRule="exact"/>
        <w:ind w:firstLine="0"/>
        <w:jc w:val="both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</w:t>
      </w:r>
      <w:r>
        <w:rPr>
          <w:rFonts w:hint="eastAsia" w:ascii="仿宋_GB2312" w:eastAsia="仿宋_GB2312"/>
          <w:sz w:val="32"/>
          <w:szCs w:val="32"/>
        </w:rPr>
        <w:t>河湖生态流量是维系河流、湖泊等水生态系统的结构和功能，需要保留在河湖内符合</w:t>
      </w:r>
      <w:r>
        <w:rPr>
          <w:rFonts w:ascii="仿宋_GB2312" w:eastAsia="仿宋_GB2312"/>
          <w:sz w:val="32"/>
          <w:szCs w:val="32"/>
        </w:rPr>
        <w:t>水质要求的</w:t>
      </w:r>
      <w:r>
        <w:rPr>
          <w:rFonts w:hint="eastAsia" w:ascii="仿宋_GB2312" w:eastAsia="仿宋_GB2312"/>
          <w:sz w:val="32"/>
          <w:szCs w:val="32"/>
        </w:rPr>
        <w:t>流量（水量、水位）及其过程。</w:t>
      </w:r>
      <w:r>
        <w:rPr>
          <w:rFonts w:hint="eastAsia" w:ascii="仿宋_GB2312" w:eastAsia="仿宋_GB2312"/>
          <w:sz w:val="32"/>
        </w:rPr>
        <w:t>保障</w:t>
      </w:r>
      <w:r>
        <w:rPr>
          <w:rFonts w:ascii="仿宋_GB2312" w:eastAsia="仿宋_GB2312"/>
          <w:sz w:val="32"/>
        </w:rPr>
        <w:t>河湖生态流量，</w:t>
      </w:r>
      <w:r>
        <w:rPr>
          <w:rFonts w:hint="eastAsia" w:ascii="仿宋_GB2312" w:eastAsia="仿宋_GB2312"/>
          <w:sz w:val="32"/>
        </w:rPr>
        <w:t>事关河湖</w:t>
      </w:r>
      <w:r>
        <w:rPr>
          <w:rFonts w:hint="eastAsia" w:ascii="仿宋_GB2312" w:eastAsia="仿宋_GB2312"/>
          <w:sz w:val="32"/>
          <w:lang w:eastAsia="zh-CN"/>
        </w:rPr>
        <w:t>生态环境复苏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事关生态文明建设</w:t>
      </w:r>
      <w:r>
        <w:rPr>
          <w:rFonts w:hint="eastAsia" w:ascii="仿宋_GB2312" w:eastAsia="仿宋_GB2312"/>
          <w:sz w:val="32"/>
        </w:rPr>
        <w:t>，事关高质量</w:t>
      </w:r>
      <w:r>
        <w:rPr>
          <w:rFonts w:ascii="仿宋_GB2312" w:eastAsia="仿宋_GB2312"/>
          <w:sz w:val="32"/>
        </w:rPr>
        <w:t>发展。</w:t>
      </w:r>
      <w:r>
        <w:rPr>
          <w:rFonts w:hint="eastAsia" w:ascii="Times New Roman" w:hAnsi="Times New Roman" w:eastAsia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河湖生态流量保障工作，要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/>
          <w:sz w:val="32"/>
          <w:szCs w:val="32"/>
        </w:rPr>
        <w:t>习近平生态文明思想和</w:t>
      </w:r>
      <w:r>
        <w:rPr>
          <w:rFonts w:hint="eastAsia" w:ascii="仿宋_GB2312" w:eastAsia="仿宋_GB2312"/>
          <w:sz w:val="32"/>
        </w:rPr>
        <w:t>“节水优先、空间均衡、系统治理、两手发力”的治水思路为指导，</w:t>
      </w:r>
      <w:r>
        <w:rPr>
          <w:rFonts w:hint="eastAsia" w:ascii="仿宋_GB2312" w:eastAsia="仿宋_GB2312"/>
          <w:sz w:val="32"/>
          <w:lang w:eastAsia="zh-CN"/>
        </w:rPr>
        <w:t>全面落实水资源刚性约束要求，</w:t>
      </w:r>
      <w:r>
        <w:rPr>
          <w:rFonts w:hint="eastAsia" w:ascii="仿宋_GB2312" w:eastAsia="仿宋_GB2312"/>
          <w:sz w:val="32"/>
        </w:rPr>
        <w:t>坚持以水而定、量水而行，科学合理配置水资源，保障河湖基本生态用水，确保水资源安全和生态安全，全力支撑经济社会高质量发展。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二、全国第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批重点河湖生态流量保障目标是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长江流域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相关江河湖泊流域水量分配、生态流量管理、水资源统一调度和取用水总量控制的重要依据。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长江水利委员会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依法履行跨省江河流域</w:t>
      </w:r>
      <w:r>
        <w:rPr>
          <w:rFonts w:hint="eastAsia" w:ascii="仿宋_GB2312" w:hAnsi="仿宋_GB2312" w:eastAsia="仿宋_GB2312" w:cs="仿宋_GB2312"/>
          <w:sz w:val="32"/>
          <w:szCs w:val="32"/>
        </w:rPr>
        <w:t>水资源管理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流域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统一调度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，加强流域取用水总量控制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，合理配置水资源，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保障河湖基本生态用水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长江水利委员会要</w:t>
      </w:r>
      <w:r>
        <w:rPr>
          <w:rFonts w:hint="eastAsia" w:ascii="仿宋_GB2312" w:hAnsi="仿宋_GB2312" w:eastAsia="仿宋_GB2312" w:cs="仿宋_GB2312"/>
          <w:sz w:val="32"/>
          <w:szCs w:val="32"/>
        </w:rPr>
        <w:t>抓紧制定重点河湖生态流量保障实施方案，明确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流域管理机构、有关省级人民政府、相关工程管理单位等生态流量保障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责任和管理措施，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生态流量监测预警机制，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严格监督管理和问题处置，切实保障河湖生态流量。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三、各有关省（自治区、直辖市）人民政府依据有关规定，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落实水资源管理和保护责任，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组织有关职能部门完善生态流量监管体系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强化地方河湖生态流量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责任，抓好生态流量保障目标的落实。把保障生态流量目标作为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经济社会发展的刚性</w:t>
      </w:r>
      <w:r>
        <w:rPr>
          <w:rFonts w:hint="eastAsia" w:ascii="仿宋_GB2312" w:hAnsi="仿宋_GB2312" w:eastAsia="仿宋_GB2312" w:cs="仿宋_GB2312"/>
          <w:sz w:val="32"/>
          <w:szCs w:val="32"/>
        </w:rPr>
        <w:t>约束，严格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流域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区域取用水总量控制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，严守河湖水资源利用上线，严控河湖生态流量底线，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安排好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生活、生产和生态用水需求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加强控制性工程水量统一调度，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严管控制性工程下泄流量和河道外取用水管理，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切实改善河湖生态环境。加快水资源监测体系建设，加大监测设施投入，完善监测手段，提升监管能力。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</w:t>
      </w:r>
      <w:r>
        <w:rPr>
          <w:rFonts w:hint="eastAsia" w:ascii="仿宋_GB2312" w:eastAsia="仿宋_GB2312"/>
          <w:sz w:val="32"/>
          <w:lang w:bidi="ar"/>
        </w:rPr>
        <w:t>水利部</w:t>
      </w:r>
      <w:r>
        <w:rPr>
          <w:rFonts w:hint="eastAsia" w:ascii="仿宋_GB2312" w:hAnsi="仿宋_GB2312" w:eastAsia="仿宋_GB2312" w:cs="仿宋_GB2312"/>
          <w:sz w:val="32"/>
          <w:szCs w:val="32"/>
        </w:rPr>
        <w:t>将把河湖生态流量保障工作纳入全面推行河长制湖长制、实行最严格水资源管理制度的重要内容，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加强监督检查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和督导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，强化跨省江河流域省界断面、重要控制断面和生态流量控制断面下泄流量水量考核，定期通报河湖生态流量保障目标落实情况，并将监督检查结果</w:t>
      </w:r>
      <w:r>
        <w:rPr>
          <w:rFonts w:hint="eastAsia" w:ascii="Times New Roman" w:hAnsi="Times New Roman" w:eastAsia="仿宋_GB2312"/>
          <w:sz w:val="32"/>
          <w:szCs w:val="32"/>
        </w:rPr>
        <w:t>纳入</w:t>
      </w:r>
      <w:r>
        <w:rPr>
          <w:rFonts w:ascii="仿宋_GB2312" w:eastAsia="仿宋_GB2312"/>
          <w:sz w:val="32"/>
        </w:rPr>
        <w:t>最严格</w:t>
      </w:r>
      <w:r>
        <w:rPr>
          <w:rFonts w:hint="eastAsia" w:ascii="仿宋_GB2312" w:eastAsia="仿宋_GB2312"/>
          <w:sz w:val="32"/>
        </w:rPr>
        <w:t>水资源</w:t>
      </w:r>
      <w:r>
        <w:rPr>
          <w:rFonts w:ascii="仿宋_GB2312" w:eastAsia="仿宋_GB2312"/>
          <w:sz w:val="32"/>
        </w:rPr>
        <w:t>管理制度</w:t>
      </w:r>
      <w:r>
        <w:rPr>
          <w:rFonts w:hint="eastAsia" w:ascii="仿宋_GB2312" w:eastAsia="仿宋_GB2312"/>
          <w:sz w:val="32"/>
        </w:rPr>
        <w:t>年度</w:t>
      </w:r>
      <w:r>
        <w:rPr>
          <w:rFonts w:ascii="仿宋_GB2312" w:eastAsia="仿宋_GB2312"/>
          <w:sz w:val="32"/>
        </w:rPr>
        <w:t>考核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7"/>
        <w:spacing w:line="600" w:lineRule="exact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eastAsia="zh-CN"/>
        </w:rPr>
        <w:t>有关地方</w:t>
      </w:r>
      <w:r>
        <w:rPr>
          <w:rFonts w:hint="eastAsia" w:ascii="仿宋_GB2312" w:eastAsia="仿宋_GB2312"/>
          <w:sz w:val="32"/>
        </w:rPr>
        <w:t>在河湖生态流量保障目标落实和管理中有关情况和问题，请及时向我部反映。</w:t>
      </w:r>
    </w:p>
    <w:p>
      <w:pPr>
        <w:pStyle w:val="7"/>
        <w:spacing w:line="600" w:lineRule="exact"/>
        <w:ind w:firstLine="640" w:firstLineChars="200"/>
        <w:outlineLvl w:val="0"/>
        <w:rPr>
          <w:rFonts w:hint="eastAsia" w:ascii="仿宋_GB2312" w:eastAsia="仿宋_GB2312"/>
          <w:sz w:val="32"/>
        </w:rPr>
      </w:pPr>
    </w:p>
    <w:p>
      <w:pPr>
        <w:pStyle w:val="7"/>
        <w:spacing w:line="600" w:lineRule="exact"/>
        <w:ind w:firstLine="640" w:firstLineChars="200"/>
        <w:jc w:val="center"/>
        <w:outlineLvl w:val="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lang w:eastAsia="zh-CN"/>
        </w:rPr>
        <w:t>水利部</w:t>
      </w:r>
    </w:p>
    <w:p>
      <w:pPr>
        <w:pStyle w:val="7"/>
        <w:spacing w:line="600" w:lineRule="exact"/>
        <w:ind w:firstLine="640" w:firstLineChars="200"/>
        <w:jc w:val="right"/>
        <w:outlineLvl w:val="0"/>
        <w:rPr>
          <w:rFonts w:hint="default" w:ascii="仿宋_GB2312" w:eastAsia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lang w:val="en-US" w:eastAsia="zh-CN"/>
        </w:rPr>
        <w:t>2022年2月21日</w:t>
      </w:r>
    </w:p>
    <w:p>
      <w:pP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第四批重点河湖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生态流量保障目标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（试行）</w:t>
      </w:r>
    </w:p>
    <w:tbl>
      <w:tblPr>
        <w:tblStyle w:val="4"/>
        <w:tblW w:w="13903" w:type="dxa"/>
        <w:tblInd w:w="0" w:type="dxa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93"/>
        <w:gridCol w:w="2748"/>
        <w:gridCol w:w="2223"/>
        <w:gridCol w:w="3338"/>
        <w:gridCol w:w="5001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  <w:tblHeader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河流名称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断面名称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生态基流(m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/s)/ 最低生态水位(m)</w:t>
            </w:r>
          </w:p>
        </w:tc>
        <w:tc>
          <w:tcPr>
            <w:tcW w:w="5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敏感生态流量(m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/s)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金沙江-定曲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古学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31.0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金沙江-定曲-硕曲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上游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金沙江-定曲-硕曲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硕曲滇川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16.8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金沙江-水洛河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水洛河川滇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36.4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金沙江-水洛河-尼汝河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洛吉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2.52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金沙江-新庄河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石龙坝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金沙江-雅砻江-鲜水河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道孚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.0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金沙江-横江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横江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27.5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金沙江-横江-洛泽河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马路村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5.50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南广河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罗渡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岷江-大渡河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硬梁包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134.7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坝址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在3月中旬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4月下旬、7月下旬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9月中旬通过生态机组和生态泄水闸分别制造1次、2次洪水涨落过程，每次连续3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7天，峰值流量不低于269.4 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/s，满足鱼类繁殖需要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瀑布沟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限制枯水期尼日河引水流量，确保尼日河引水工程下泄3 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/s生态基流，加强瀑布沟水库运行下泄水温监测及其影响与恢复研究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沙湾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沱江-濑溪河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分水村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0.77(10月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次年4月)、2.08(5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9月)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赤水河-习水河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习水黔川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2.61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綦江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松坎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綦江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五岔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綦江-藻渡河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金佛山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0.414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11月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次年4月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、1.242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(5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綦江-藻渡河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藻渡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2.94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(藻渡水库建成前)；3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.76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(1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1月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次年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4月)、7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.5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(5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10月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>)(藻渡水库建成后)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嘉陵江-五马河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东风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1.12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嘉陵江-青泥河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成县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嘉陵江-白龙江-达拉沟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达拉沟川甘（求吉）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嘉陵江-江洛河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江洛河甘陕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嘉陵江-燕子河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燕子河甘陕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2.24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嘉陵江-渠江-大通江-小通江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青峪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1.95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嘉陵江-涪江-琼江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太安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0.94(11月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次年5月)、1.88(6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御临河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麻柳沱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2.75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碑口水库建库前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)、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5.26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碑口水库建库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后)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乌江-六冲河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洪家渡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水电站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14.4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乌江-六冲河-以萨河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大河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乌江-甘龙河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甘龙河（渝黔）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3.19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乌江-濯河（唐岩河）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朝阳寺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7.15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乌江-郁江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文斗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4.88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乌江-芙蓉江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浩口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21.1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磨刀溪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走马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1.29(10月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val="e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月)、2.20(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val="e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9月)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长滩河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双河口（长滩鄂渝）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1.04(10月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val="en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月)、1.76(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val="en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9月)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汉江-任河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大竹河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5.89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汉江-任河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茅坝关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汉江-天河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白岩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湘江-渌水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枧头洲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3.53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湘江-渌水-萍水河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萍乡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资水-夫夷水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资源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2.51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资水-夫夷水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新宁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7.73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澧水-溇水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淋溪河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8.65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澧水-溇水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江垭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澧水-渫水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皂市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9.22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沅江-渠水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通道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沅江-清水江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白市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沅江-舞水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玉屏（崇滩）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20.6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20.6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24.5 （4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7月）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沅江-舞水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芷江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30.2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 xml:space="preserve">30.2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42.0 （4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7月）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沅江-辰水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施滩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16.3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沅江-酉水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来凤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5.32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沅江-酉水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石堤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23.6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沅江-酉水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高砌头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48.4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145.2（4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7月）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沅江-酉水-花垣河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松桃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2.75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沅江-酉水-花垣河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茶洞*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赣江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万安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赣江-章江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丰州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1.64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信江-丰溪河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二渡关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信江-白塔河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柏泉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修水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柘林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25.7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饶河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虎山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12.3(9月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次年2月)、22.0(3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8月)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饶河-昌江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浯溪口水利枢纽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8.87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饶河-昌江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渡峰坑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10.4(9月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次年2月)、14.8(3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  <w:t>—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8月)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青弋江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陈村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9.09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水阳江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宣城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8.03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水阳江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新河庄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5.48m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滁河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襄河口闸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6.46m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滁河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汊河集闸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3.44m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滁河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三汊湾闸</w:t>
            </w:r>
          </w:p>
        </w:tc>
        <w:tc>
          <w:tcPr>
            <w:tcW w:w="3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4.28m</w:t>
            </w:r>
          </w:p>
        </w:tc>
        <w:tc>
          <w:tcPr>
            <w:tcW w:w="5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" w:cs="Times New Roman"/>
          <w:highlight w:val="none"/>
        </w:rPr>
      </w:pPr>
      <w:r>
        <w:rPr>
          <w:rFonts w:ascii="Times New Roman" w:hAnsi="Times New Roman" w:eastAsia="仿宋" w:cs="Times New Roman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3" w:leftChars="0" w:hanging="283" w:firstLineChars="0"/>
        <w:textAlignment w:val="auto"/>
        <w:rPr>
          <w:rFonts w:ascii="Times New Roman" w:hAnsi="Times New Roman" w:eastAsia="仿宋" w:cs="Times New Roman"/>
          <w:color w:val="000000"/>
          <w:kern w:val="0"/>
          <w:szCs w:val="21"/>
          <w:highlight w:val="none"/>
        </w:rPr>
      </w:pPr>
      <w:r>
        <w:rPr>
          <w:rFonts w:ascii="Times New Roman" w:hAnsi="Times New Roman" w:eastAsia="仿宋" w:cs="Times New Roman"/>
          <w:highlight w:val="none"/>
        </w:rPr>
        <w:t>新河庄、襄河口闸、汊河集闸、三汊湾闸断面均为水位站，采用</w:t>
      </w:r>
      <w:r>
        <w:rPr>
          <w:rFonts w:hint="eastAsia" w:ascii="Times New Roman" w:hAnsi="Times New Roman" w:eastAsia="仿宋" w:cs="Times New Roman"/>
          <w:highlight w:val="none"/>
        </w:rPr>
        <w:t>冻结</w:t>
      </w:r>
      <w:r>
        <w:rPr>
          <w:rFonts w:ascii="Times New Roman" w:hAnsi="Times New Roman" w:eastAsia="仿宋" w:cs="Times New Roman"/>
          <w:highlight w:val="none"/>
        </w:rPr>
        <w:t>吴淞高程系统</w:t>
      </w:r>
      <w:r>
        <w:rPr>
          <w:rFonts w:hint="eastAsia" w:ascii="Times New Roman" w:hAnsi="Times New Roman" w:eastAsia="仿宋" w:cs="Times New Roman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3" w:leftChars="0" w:hanging="283" w:firstLineChars="0"/>
        <w:textAlignment w:val="auto"/>
        <w:rPr>
          <w:rFonts w:hint="default" w:ascii="Times New Roman" w:hAnsi="Times New Roman" w:eastAsia="仿宋" w:cs="Times New Roman"/>
          <w:highlight w:val="none"/>
          <w:lang w:val="e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标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断面：（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）上游、水洛河川滇、洛吉、罗渡、达拉沟川甘（求吉）、大河、甘龙河（渝黔）、走马、双河口（长滩鄂渝）、施滩、茶洞、丰州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eastAsia="zh-CN"/>
        </w:rPr>
        <w:t>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val="en-US" w:eastAsia="zh-CN"/>
        </w:rPr>
        <w:t>12个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断面暂无依托水文站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eastAsia="zh-CN"/>
        </w:rPr>
        <w:t>监测，近期不纳入考核；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（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）硕曲滇川、分水村、习水黔川、藻渡、东风、江洛河甘陕、燕子河甘陕、青裕、太安、麻柳沱、茅坝关、白岩、枧头洲、萍乡、二渡关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eastAsia="zh-CN"/>
        </w:rPr>
        <w:t>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val="en-US" w:eastAsia="zh-CN"/>
        </w:rPr>
        <w:t>15个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断面依托新建省界断面或中小河流水文站，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  <w:lang w:eastAsia="zh-CN"/>
        </w:rPr>
        <w:t>近期不纳入考核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highlight w:val="none"/>
        </w:rPr>
        <w:t>；（3）硬梁包断</w:t>
      </w:r>
      <w:r>
        <w:rPr>
          <w:rFonts w:hint="eastAsia" w:ascii="Times New Roman" w:hAnsi="Times New Roman" w:eastAsia="仿宋" w:cs="Times New Roman"/>
          <w:highlight w:val="none"/>
        </w:rPr>
        <w:t>面为在建工程的控制断面，近期不纳入考核。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3" w:leftChars="0" w:hanging="283" w:firstLineChars="0"/>
        <w:textAlignment w:val="auto"/>
      </w:pPr>
      <w:r>
        <w:rPr>
          <w:rFonts w:hint="eastAsia" w:ascii="Times New Roman" w:hAnsi="Times New Roman" w:eastAsia="仿宋" w:cs="Times New Roman"/>
          <w:highlight w:val="none"/>
        </w:rPr>
        <w:t>生态基流（水位）设计保证率为90%。</w:t>
      </w:r>
    </w:p>
    <w:p>
      <w:pPr>
        <w:ind w:firstLine="420" w:firstLineChars="200"/>
        <w:rPr>
          <w:rFonts w:hint="default"/>
          <w:lang w:val="en"/>
        </w:rPr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AA65"/>
    <w:multiLevelType w:val="singleLevel"/>
    <w:tmpl w:val="FFDFAA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FD611"/>
    <w:rsid w:val="0EEF2497"/>
    <w:rsid w:val="1B7F5333"/>
    <w:rsid w:val="2BFE5757"/>
    <w:rsid w:val="4FFBCBC1"/>
    <w:rsid w:val="57DF32DD"/>
    <w:rsid w:val="57F7E9F7"/>
    <w:rsid w:val="58CC52CA"/>
    <w:rsid w:val="59BF17EF"/>
    <w:rsid w:val="5A5FD611"/>
    <w:rsid w:val="5DB66253"/>
    <w:rsid w:val="5EFF00C3"/>
    <w:rsid w:val="5F7FFA0A"/>
    <w:rsid w:val="5FFB0EB7"/>
    <w:rsid w:val="67DDC4C3"/>
    <w:rsid w:val="6BFAAED7"/>
    <w:rsid w:val="77DA80CF"/>
    <w:rsid w:val="7BF369D4"/>
    <w:rsid w:val="7DDC5DD6"/>
    <w:rsid w:val="7EEC9F0F"/>
    <w:rsid w:val="7F6D2284"/>
    <w:rsid w:val="7FBF85BE"/>
    <w:rsid w:val="7FD73344"/>
    <w:rsid w:val="7FFF49CA"/>
    <w:rsid w:val="ADE6974F"/>
    <w:rsid w:val="AE7FF02A"/>
    <w:rsid w:val="B2B70D13"/>
    <w:rsid w:val="BA7B23C6"/>
    <w:rsid w:val="BEFD07BF"/>
    <w:rsid w:val="BFBE2ADE"/>
    <w:rsid w:val="D73B4C0F"/>
    <w:rsid w:val="D983FC68"/>
    <w:rsid w:val="DBBDF66F"/>
    <w:rsid w:val="EFFE8134"/>
    <w:rsid w:val="F47B1470"/>
    <w:rsid w:val="FD1F0862"/>
    <w:rsid w:val="FDE6E319"/>
    <w:rsid w:val="FF3F0A5E"/>
    <w:rsid w:val="FFFBD569"/>
    <w:rsid w:val="FFFF1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仿宋_GB2312" w:hAnsi="Arial" w:eastAsia="仿宋_GB2312" w:cs="Times New Roman"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7">
    <w:name w:val="无间隔1"/>
    <w:qFormat/>
    <w:uiPriority w:val="1"/>
    <w:pPr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2020-12-24T10:12:00Z</dcterms:created>
  <dc:creator>user</dc:creator>
  <cp:lastModifiedBy>wy</cp:lastModifiedBy>
  <cp:lastPrinted>2020-12-28T00:12:16Z</cp:lastPrinted>
  <dcterms:modified xsi:type="dcterms:W3CDTF">2022-03-01T07:07:38Z</dcterms:modified>
  <dc:title>为深入贯彻《中华人民共和国水法》《中华人民共和国水污染防治法》，合理开发与优化配置水资源，切实加强河湖生态流量水量管理，强化河湖生态环境保护，推进生态文明建设，根据中共中央办公厅、国务院办公厅印发的《水利部职能配置、内设机构和人员编制规定》，水利部组织各流域管理机构、有关省（自治区、直辖市）人民政府水行政主管部门制定了《第二批重点河湖生态流量保障目标（试行）》，现予以印发，并将有关事项函告如下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20101E827DDC485683FA5A7D1476CB9D</vt:lpwstr>
  </property>
</Properties>
</file>